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B6D" w:rsidRDefault="002E0A94">
      <w:r>
        <w:rPr>
          <w:noProof/>
          <w:lang w:eastAsia="de-DE"/>
        </w:rPr>
        <w:drawing>
          <wp:inline distT="0" distB="0" distL="0" distR="0">
            <wp:extent cx="5760720" cy="405741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lastRenderedPageBreak/>
        <w:drawing>
          <wp:inline distT="0" distB="0" distL="0" distR="0">
            <wp:extent cx="5760720" cy="4057410"/>
            <wp:effectExtent l="19050" t="0" r="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D95D70" w:rsidRDefault="00D95D70" w:rsidP="00D95D70">
      <w:proofErr w:type="spellStart"/>
      <w:r>
        <w:t>möglicherweise</w:t>
      </w:r>
      <w:r w:rsidRPr="00820871">
        <w:rPr>
          <w:rFonts w:ascii="Wingdings" w:hAnsi="Wingdings"/>
        </w:rPr>
        <w:t></w:t>
      </w:r>
      <w:r>
        <w:t>bei</w:t>
      </w:r>
      <w:proofErr w:type="spellEnd"/>
      <w:r>
        <w:t xml:space="preserve"> : parteifähig</w:t>
      </w:r>
    </w:p>
    <w:p w:rsidR="00D95D70" w:rsidRDefault="00D95D70" w:rsidP="00D95D70">
      <w:pPr>
        <w:pStyle w:val="berschrift3"/>
      </w:pPr>
      <w:bookmarkStart w:id="0" w:name="parteifaehigkeit_50_i_zpo"/>
      <w:r>
        <w:t>Parteifähigkeit § 50 I ZPO</w:t>
      </w:r>
      <w:bookmarkEnd w:id="0"/>
    </w:p>
    <w:p w:rsidR="00D95D70" w:rsidRDefault="00D95D70" w:rsidP="00D95D70">
      <w:pPr>
        <w:pStyle w:val="StandardWeb"/>
      </w:pPr>
      <w:r>
        <w:rPr>
          <w:rStyle w:val="searchhit"/>
        </w:rPr>
        <w:t>Die</w:t>
      </w:r>
      <w:r>
        <w:t xml:space="preserve"> Parteifähigkeit ist ein von Amt wegen zu prüfende </w:t>
      </w:r>
      <w:hyperlink r:id="rId40" w:tooltip="verfahrensrecht:prozessvoraussetzungen" w:history="1">
        <w:proofErr w:type="spellStart"/>
        <w:r>
          <w:rPr>
            <w:rStyle w:val="Hyperlink"/>
          </w:rPr>
          <w:t>Prozeßvoraussetzung</w:t>
        </w:r>
        <w:proofErr w:type="spellEnd"/>
      </w:hyperlink>
      <w:r>
        <w:t xml:space="preserve">. </w:t>
      </w:r>
      <w:r>
        <w:rPr>
          <w:rStyle w:val="searchhit"/>
        </w:rPr>
        <w:t>Die</w:t>
      </w:r>
      <w:r>
        <w:t xml:space="preserve"> Parteifähigkeit bedeutet </w:t>
      </w:r>
      <w:r>
        <w:rPr>
          <w:rStyle w:val="searchhit"/>
        </w:rPr>
        <w:t>die</w:t>
      </w:r>
      <w:r>
        <w:t xml:space="preserve"> Fähigkeit, Kläger oder Beklagter eines Prozesses zu sein, d.h. in einem Verfahren Träger von verfahrensrechtlichen Rechten und Pflichten zu sein. </w:t>
      </w:r>
    </w:p>
    <w:p w:rsidR="00D95D70" w:rsidRDefault="00D95D70">
      <w:r>
        <w:rPr>
          <w:rStyle w:val="searchhit"/>
          <w:i/>
          <w:iCs/>
        </w:rPr>
        <w:t>OHG</w:t>
      </w:r>
      <w:r>
        <w:t xml:space="preserve">: </w:t>
      </w:r>
      <w:hyperlink r:id="rId41" w:tooltip="§ 124 HGB" w:history="1">
        <w:r>
          <w:rPr>
            <w:rStyle w:val="Hyperlink"/>
          </w:rPr>
          <w:t>§ 124 I HGB</w:t>
        </w:r>
      </w:hyperlink>
      <w:r>
        <w:t xml:space="preserve">, </w:t>
      </w:r>
      <w:r>
        <w:rPr>
          <w:rStyle w:val="searchhit"/>
        </w:rPr>
        <w:t>die</w:t>
      </w:r>
      <w:r>
        <w:t xml:space="preserve"> </w:t>
      </w:r>
      <w:r>
        <w:rPr>
          <w:rStyle w:val="searchhit"/>
        </w:rPr>
        <w:t>OHG</w:t>
      </w:r>
      <w:bookmarkStart w:id="1" w:name="fnt__2"/>
      <w:r>
        <w:rPr>
          <w:vertAlign w:val="superscript"/>
        </w:rPr>
        <w:fldChar w:fldCharType="begin"/>
      </w:r>
      <w:r>
        <w:rPr>
          <w:vertAlign w:val="superscript"/>
        </w:rPr>
        <w:instrText xml:space="preserve"> HYPERLINK "http://www.ipwiki.de/verfahrensrecht:parteifaehigkeit" \l "fn__2" </w:instrText>
      </w:r>
      <w:r>
        <w:rPr>
          <w:vertAlign w:val="superscript"/>
        </w:rPr>
        <w:fldChar w:fldCharType="separate"/>
      </w:r>
      <w:r>
        <w:rPr>
          <w:rStyle w:val="Hyperlink"/>
          <w:vertAlign w:val="superscript"/>
        </w:rPr>
        <w:t>2)</w:t>
      </w:r>
      <w:r>
        <w:rPr>
          <w:vertAlign w:val="superscript"/>
        </w:rPr>
        <w:fldChar w:fldCharType="end"/>
      </w:r>
      <w:bookmarkEnd w:id="1"/>
      <w:r>
        <w:t xml:space="preserve"> kann vor Gericht klagen und verklagt werden. </w:t>
      </w:r>
      <w:r>
        <w:rPr>
          <w:rStyle w:val="searchhit"/>
        </w:rPr>
        <w:t>Die</w:t>
      </w:r>
      <w:r>
        <w:t xml:space="preserve"> Wirksamkeit der </w:t>
      </w:r>
      <w:r>
        <w:rPr>
          <w:rStyle w:val="searchhit"/>
        </w:rPr>
        <w:t>OHG</w:t>
      </w:r>
      <w:r>
        <w:t xml:space="preserve"> beginnt nach </w:t>
      </w:r>
      <w:hyperlink r:id="rId42" w:tooltip="§ 123 HGB" w:history="1">
        <w:r>
          <w:rPr>
            <w:rStyle w:val="Hyperlink"/>
          </w:rPr>
          <w:t>§ 123 II HGB</w:t>
        </w:r>
      </w:hyperlink>
      <w:r>
        <w:t xml:space="preserve"> bereits mit Beginn der Geschäfte.</w:t>
      </w:r>
    </w:p>
    <w:p w:rsidR="002E0A94" w:rsidRDefault="002E0A94">
      <w:r>
        <w:rPr>
          <w:noProof/>
          <w:lang w:eastAsia="de-DE"/>
        </w:rPr>
        <w:lastRenderedPageBreak/>
        <w:drawing>
          <wp:inline distT="0" distB="0" distL="0" distR="0">
            <wp:extent cx="5760720" cy="4057410"/>
            <wp:effectExtent l="1905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D95D70" w:rsidRDefault="00D95D70"/>
    <w:p w:rsidR="002E0A94" w:rsidRDefault="002E0A94">
      <w:r>
        <w:rPr>
          <w:noProof/>
          <w:lang w:eastAsia="de-DE"/>
        </w:rPr>
        <w:lastRenderedPageBreak/>
        <w:drawing>
          <wp:inline distT="0" distB="0" distL="0" distR="0">
            <wp:extent cx="5760720" cy="4057410"/>
            <wp:effectExtent l="1905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r>
        <w:rPr>
          <w:noProof/>
          <w:lang w:eastAsia="de-DE"/>
        </w:rPr>
        <w:drawing>
          <wp:inline distT="0" distB="0" distL="0" distR="0">
            <wp:extent cx="5760720" cy="4057410"/>
            <wp:effectExtent l="19050" t="0" r="0"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820871" w:rsidRDefault="00820871">
      <w:proofErr w:type="spellStart"/>
      <w:r>
        <w:t>möglicherweise</w:t>
      </w:r>
      <w:r w:rsidRPr="00820871">
        <w:rPr>
          <w:rFonts w:ascii="Wingdings" w:hAnsi="Wingdings"/>
        </w:rPr>
        <w:t></w:t>
      </w:r>
      <w:r>
        <w:t>bei</w:t>
      </w:r>
      <w:proofErr w:type="spellEnd"/>
      <w:r>
        <w:t xml:space="preserve"> : wenn weniger geliefert wird als bestellt</w:t>
      </w:r>
    </w:p>
    <w:p w:rsidR="00820871" w:rsidRDefault="00820871">
      <w:proofErr w:type="spellStart"/>
      <w:r>
        <w:t>Wikipedia</w:t>
      </w:r>
      <w:proofErr w:type="spellEnd"/>
      <w:r>
        <w:t>:</w:t>
      </w:r>
    </w:p>
    <w:p w:rsidR="00820871" w:rsidRPr="00820871" w:rsidRDefault="00820871" w:rsidP="00820871">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820871">
        <w:rPr>
          <w:rFonts w:ascii="Times New Roman" w:eastAsia="Times New Roman" w:hAnsi="Times New Roman" w:cs="Times New Roman"/>
          <w:b/>
          <w:bCs/>
          <w:sz w:val="24"/>
          <w:szCs w:val="24"/>
          <w:lang w:eastAsia="de-DE"/>
        </w:rPr>
        <w:lastRenderedPageBreak/>
        <w:t xml:space="preserve">Verschiedene Sachmängel </w:t>
      </w:r>
    </w:p>
    <w:p w:rsidR="00820871" w:rsidRPr="00820871" w:rsidRDefault="00820871" w:rsidP="00820871">
      <w:pPr>
        <w:spacing w:before="100" w:beforeAutospacing="1" w:after="100" w:afterAutospacing="1" w:line="240" w:lineRule="auto"/>
        <w:rPr>
          <w:rFonts w:ascii="Times New Roman" w:eastAsia="Times New Roman" w:hAnsi="Times New Roman" w:cs="Times New Roman"/>
          <w:sz w:val="24"/>
          <w:szCs w:val="24"/>
          <w:lang w:eastAsia="de-DE"/>
        </w:rPr>
      </w:pPr>
      <w:r w:rsidRPr="00820871">
        <w:rPr>
          <w:rFonts w:ascii="Times New Roman" w:eastAsia="Times New Roman" w:hAnsi="Times New Roman" w:cs="Times New Roman"/>
          <w:sz w:val="24"/>
          <w:szCs w:val="24"/>
          <w:lang w:eastAsia="de-DE"/>
        </w:rPr>
        <w:t xml:space="preserve">Der Sachmangelbegriff stellt anders als früher nicht zwingend auf Fehler oder das Fehlen zugesicherter Eigenschaften, sondern auf die subjektive Beschaffenheit ab. Es kommt vorrangig darauf an, was zwischen den beiden Vertragspartnern vereinbart wurde. Hier ist oft vom </w:t>
      </w:r>
      <w:r w:rsidRPr="00820871">
        <w:rPr>
          <w:rFonts w:ascii="Times New Roman" w:eastAsia="Times New Roman" w:hAnsi="Times New Roman" w:cs="Times New Roman"/>
          <w:i/>
          <w:iCs/>
          <w:sz w:val="24"/>
          <w:szCs w:val="24"/>
          <w:lang w:eastAsia="de-DE"/>
        </w:rPr>
        <w:t>subjektiven Fehlerbegriff</w:t>
      </w:r>
      <w:r w:rsidRPr="00820871">
        <w:rPr>
          <w:rFonts w:ascii="Times New Roman" w:eastAsia="Times New Roman" w:hAnsi="Times New Roman" w:cs="Times New Roman"/>
          <w:sz w:val="24"/>
          <w:szCs w:val="24"/>
          <w:lang w:eastAsia="de-DE"/>
        </w:rPr>
        <w:t xml:space="preserve"> die Rede. Der Gesetzgeber unterscheidet 7 verschiedene Arten von Sachmängeln. Er definiert diese auf unterschiedliche Weise. Während die wichtigsten ersten drei Arten von Sachmängeln negativ formuliert sind (es wird nicht der Mangel sondern die Mangelfreiheit definiert), definieren die übrigen Arten 4 bis 7 den Mangel positiv.</w:t>
      </w:r>
    </w:p>
    <w:p w:rsidR="00820871" w:rsidRPr="00820871" w:rsidRDefault="00820871" w:rsidP="00820871">
      <w:pPr>
        <w:spacing w:before="100" w:beforeAutospacing="1" w:after="100" w:afterAutospacing="1" w:line="240" w:lineRule="auto"/>
        <w:rPr>
          <w:rFonts w:ascii="Times New Roman" w:eastAsia="Times New Roman" w:hAnsi="Times New Roman" w:cs="Times New Roman"/>
          <w:sz w:val="24"/>
          <w:szCs w:val="24"/>
          <w:lang w:eastAsia="de-DE"/>
        </w:rPr>
      </w:pPr>
      <w:r w:rsidRPr="00820871">
        <w:rPr>
          <w:rFonts w:ascii="Times New Roman" w:eastAsia="Times New Roman" w:hAnsi="Times New Roman" w:cs="Times New Roman"/>
          <w:sz w:val="24"/>
          <w:szCs w:val="24"/>
          <w:lang w:eastAsia="de-DE"/>
        </w:rPr>
        <w:t>Es ist zu differenzieren zwischen :</w:t>
      </w:r>
    </w:p>
    <w:p w:rsidR="00820871" w:rsidRPr="00820871" w:rsidRDefault="00820871" w:rsidP="00820871">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820871">
        <w:rPr>
          <w:rFonts w:ascii="Times New Roman" w:eastAsia="Times New Roman" w:hAnsi="Times New Roman" w:cs="Times New Roman"/>
          <w:sz w:val="24"/>
          <w:szCs w:val="24"/>
          <w:lang w:eastAsia="de-DE"/>
        </w:rPr>
        <w:t xml:space="preserve">Vereinbarter Beschaffenheit </w:t>
      </w:r>
      <w:r w:rsidRPr="00820871">
        <w:rPr>
          <w:rFonts w:ascii="Times New Roman" w:eastAsia="Times New Roman" w:hAnsi="Times New Roman" w:cs="Times New Roman"/>
          <w:i/>
          <w:iCs/>
          <w:sz w:val="20"/>
          <w:szCs w:val="20"/>
          <w:lang w:eastAsia="de-DE"/>
        </w:rPr>
        <w:t>(§ 434 I 1 BGB)</w:t>
      </w:r>
    </w:p>
    <w:p w:rsidR="00820871" w:rsidRPr="00820871" w:rsidRDefault="00820871" w:rsidP="00820871">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820871">
        <w:rPr>
          <w:rFonts w:ascii="Times New Roman" w:eastAsia="Times New Roman" w:hAnsi="Times New Roman" w:cs="Times New Roman"/>
          <w:sz w:val="24"/>
          <w:szCs w:val="24"/>
          <w:lang w:eastAsia="de-DE"/>
        </w:rPr>
        <w:t xml:space="preserve">Eignung zur vertraglich vorausgesetzten Verwendung </w:t>
      </w:r>
      <w:r w:rsidRPr="00820871">
        <w:rPr>
          <w:rFonts w:ascii="Times New Roman" w:eastAsia="Times New Roman" w:hAnsi="Times New Roman" w:cs="Times New Roman"/>
          <w:i/>
          <w:iCs/>
          <w:sz w:val="20"/>
          <w:szCs w:val="20"/>
          <w:lang w:eastAsia="de-DE"/>
        </w:rPr>
        <w:t>(§ 434 I 2, Nr. 1 BGB)</w:t>
      </w:r>
    </w:p>
    <w:p w:rsidR="00820871" w:rsidRPr="00820871" w:rsidRDefault="00820871" w:rsidP="00820871">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820871">
        <w:rPr>
          <w:rFonts w:ascii="Times New Roman" w:eastAsia="Times New Roman" w:hAnsi="Times New Roman" w:cs="Times New Roman"/>
          <w:sz w:val="24"/>
          <w:szCs w:val="24"/>
          <w:lang w:eastAsia="de-DE"/>
        </w:rPr>
        <w:t xml:space="preserve">Eignung zur gewöhnlichen Verwendung </w:t>
      </w:r>
      <w:r w:rsidRPr="00820871">
        <w:rPr>
          <w:rFonts w:ascii="Times New Roman" w:eastAsia="Times New Roman" w:hAnsi="Times New Roman" w:cs="Times New Roman"/>
          <w:i/>
          <w:iCs/>
          <w:sz w:val="20"/>
          <w:szCs w:val="20"/>
          <w:lang w:eastAsia="de-DE"/>
        </w:rPr>
        <w:t>(§ 434 I 2, Nr. 2 BGB)</w:t>
      </w:r>
    </w:p>
    <w:p w:rsidR="00820871" w:rsidRPr="00820871" w:rsidRDefault="00820871" w:rsidP="00820871">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820871">
        <w:rPr>
          <w:rFonts w:ascii="Times New Roman" w:eastAsia="Times New Roman" w:hAnsi="Times New Roman" w:cs="Times New Roman"/>
          <w:sz w:val="24"/>
          <w:szCs w:val="24"/>
          <w:lang w:eastAsia="de-DE"/>
        </w:rPr>
        <w:t xml:space="preserve">Unsachgemäße Montage </w:t>
      </w:r>
      <w:r w:rsidRPr="00820871">
        <w:rPr>
          <w:rFonts w:ascii="Times New Roman" w:eastAsia="Times New Roman" w:hAnsi="Times New Roman" w:cs="Times New Roman"/>
          <w:i/>
          <w:iCs/>
          <w:sz w:val="20"/>
          <w:szCs w:val="20"/>
          <w:lang w:eastAsia="de-DE"/>
        </w:rPr>
        <w:t>(§ 434 II 1 BGB)</w:t>
      </w:r>
    </w:p>
    <w:p w:rsidR="00820871" w:rsidRPr="00820871" w:rsidRDefault="00820871" w:rsidP="00820871">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820871">
        <w:rPr>
          <w:rFonts w:ascii="Times New Roman" w:eastAsia="Times New Roman" w:hAnsi="Times New Roman" w:cs="Times New Roman"/>
          <w:sz w:val="24"/>
          <w:szCs w:val="24"/>
          <w:lang w:eastAsia="de-DE"/>
        </w:rPr>
        <w:t xml:space="preserve">Mangelhafte Montageanleitung </w:t>
      </w:r>
      <w:r w:rsidRPr="00820871">
        <w:rPr>
          <w:rFonts w:ascii="Times New Roman" w:eastAsia="Times New Roman" w:hAnsi="Times New Roman" w:cs="Times New Roman"/>
          <w:i/>
          <w:iCs/>
          <w:sz w:val="20"/>
          <w:szCs w:val="20"/>
          <w:lang w:eastAsia="de-DE"/>
        </w:rPr>
        <w:t>(§ 434 II 2 BGB)</w:t>
      </w:r>
    </w:p>
    <w:p w:rsidR="00820871" w:rsidRPr="00820871" w:rsidRDefault="00820871" w:rsidP="00820871">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820871">
        <w:rPr>
          <w:rFonts w:ascii="Times New Roman" w:eastAsia="Times New Roman" w:hAnsi="Times New Roman" w:cs="Times New Roman"/>
          <w:sz w:val="24"/>
          <w:szCs w:val="24"/>
          <w:lang w:eastAsia="de-DE"/>
        </w:rPr>
        <w:t xml:space="preserve">Lieferung einer anderen Sache </w:t>
      </w:r>
      <w:r w:rsidRPr="00820871">
        <w:rPr>
          <w:rFonts w:ascii="Times New Roman" w:eastAsia="Times New Roman" w:hAnsi="Times New Roman" w:cs="Times New Roman"/>
          <w:i/>
          <w:iCs/>
          <w:sz w:val="20"/>
          <w:szCs w:val="20"/>
          <w:lang w:eastAsia="de-DE"/>
        </w:rPr>
        <w:t>(§ 434 III 1.Fall BGB)</w:t>
      </w:r>
    </w:p>
    <w:p w:rsidR="00820871" w:rsidRPr="00820871" w:rsidRDefault="00820871" w:rsidP="00820871">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820871">
        <w:rPr>
          <w:rFonts w:ascii="Times New Roman" w:eastAsia="Times New Roman" w:hAnsi="Times New Roman" w:cs="Times New Roman"/>
          <w:sz w:val="24"/>
          <w:szCs w:val="24"/>
          <w:lang w:eastAsia="de-DE"/>
        </w:rPr>
        <w:t xml:space="preserve">Lieferung einer Mindermenge </w:t>
      </w:r>
      <w:r w:rsidRPr="00820871">
        <w:rPr>
          <w:rFonts w:ascii="Times New Roman" w:eastAsia="Times New Roman" w:hAnsi="Times New Roman" w:cs="Times New Roman"/>
          <w:i/>
          <w:iCs/>
          <w:sz w:val="20"/>
          <w:szCs w:val="20"/>
          <w:lang w:eastAsia="de-DE"/>
        </w:rPr>
        <w:t>(§ 434 III 2.Fall BGB)</w:t>
      </w:r>
    </w:p>
    <w:p w:rsidR="00820871" w:rsidRPr="00820871" w:rsidRDefault="00820871" w:rsidP="00820871">
      <w:pPr>
        <w:spacing w:before="100" w:beforeAutospacing="1" w:after="100" w:afterAutospacing="1" w:line="240" w:lineRule="auto"/>
        <w:rPr>
          <w:rFonts w:ascii="Times New Roman" w:eastAsia="Times New Roman" w:hAnsi="Times New Roman" w:cs="Times New Roman"/>
          <w:sz w:val="24"/>
          <w:szCs w:val="24"/>
          <w:lang w:eastAsia="de-DE"/>
        </w:rPr>
      </w:pPr>
      <w:r w:rsidRPr="00820871">
        <w:rPr>
          <w:rFonts w:ascii="Times New Roman" w:eastAsia="Times New Roman" w:hAnsi="Times New Roman" w:cs="Times New Roman"/>
          <w:sz w:val="24"/>
          <w:szCs w:val="24"/>
          <w:lang w:eastAsia="de-DE"/>
        </w:rPr>
        <w:t>Die ersten drei Sachmangelarten folgen einer strengen Hierarchie, wobei die jeweils niedrigere Stufe nur gilt, soweit die höhere Stufe nicht anwendbar ist. Die drei Hierarchiestufen sind in ihrer Rangfolge:</w:t>
      </w:r>
    </w:p>
    <w:p w:rsidR="00820871" w:rsidRDefault="00820871"/>
    <w:p w:rsidR="00820871" w:rsidRDefault="00820871"/>
    <w:p w:rsidR="002E0A94" w:rsidRDefault="002E0A94">
      <w:r>
        <w:rPr>
          <w:noProof/>
          <w:lang w:eastAsia="de-DE"/>
        </w:rPr>
        <w:drawing>
          <wp:inline distT="0" distB="0" distL="0" distR="0">
            <wp:extent cx="5760720" cy="4057410"/>
            <wp:effectExtent l="19050" t="0" r="0" b="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7" cstate="print"/>
                    <a:srcRect/>
                    <a:stretch>
                      <a:fillRect/>
                    </a:stretch>
                  </pic:blipFill>
                  <pic:spPr bwMode="auto">
                    <a:xfrm>
                      <a:off x="0" y="0"/>
                      <a:ext cx="5760720" cy="4057410"/>
                    </a:xfrm>
                    <a:prstGeom prst="rect">
                      <a:avLst/>
                    </a:prstGeom>
                    <a:noFill/>
                    <a:ln w="9525">
                      <a:noFill/>
                      <a:miter lim="800000"/>
                      <a:headEnd/>
                      <a:tailEnd/>
                    </a:ln>
                  </pic:spPr>
                </pic:pic>
              </a:graphicData>
            </a:graphic>
          </wp:inline>
        </w:drawing>
      </w:r>
    </w:p>
    <w:p w:rsidR="002E0A94" w:rsidRDefault="002E0A94"/>
    <w:sectPr w:rsidR="002E0A94" w:rsidSect="00423B6D">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005372"/>
    <w:multiLevelType w:val="multilevel"/>
    <w:tmpl w:val="1F7A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defaultTabStop w:val="708"/>
  <w:hyphenationZone w:val="425"/>
  <w:characterSpacingControl w:val="doNotCompress"/>
  <w:compat/>
  <w:rsids>
    <w:rsidRoot w:val="002E0A94"/>
    <w:rsid w:val="002E0A94"/>
    <w:rsid w:val="00423B6D"/>
    <w:rsid w:val="00820871"/>
    <w:rsid w:val="00D95D7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3B6D"/>
  </w:style>
  <w:style w:type="paragraph" w:styleId="berschrift3">
    <w:name w:val="heading 3"/>
    <w:basedOn w:val="Standard"/>
    <w:next w:val="Standard"/>
    <w:link w:val="berschrift3Zchn"/>
    <w:uiPriority w:val="9"/>
    <w:semiHidden/>
    <w:unhideWhenUsed/>
    <w:qFormat/>
    <w:rsid w:val="00D95D70"/>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820871"/>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E0A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0A94"/>
    <w:rPr>
      <w:rFonts w:ascii="Tahoma" w:hAnsi="Tahoma" w:cs="Tahoma"/>
      <w:sz w:val="16"/>
      <w:szCs w:val="16"/>
    </w:rPr>
  </w:style>
  <w:style w:type="character" w:customStyle="1" w:styleId="berschrift4Zchn">
    <w:name w:val="Überschrift 4 Zchn"/>
    <w:basedOn w:val="Absatz-Standardschriftart"/>
    <w:link w:val="berschrift4"/>
    <w:uiPriority w:val="9"/>
    <w:rsid w:val="00820871"/>
    <w:rPr>
      <w:rFonts w:ascii="Times New Roman" w:eastAsia="Times New Roman" w:hAnsi="Times New Roman" w:cs="Times New Roman"/>
      <w:b/>
      <w:bCs/>
      <w:sz w:val="24"/>
      <w:szCs w:val="24"/>
      <w:lang w:eastAsia="de-DE"/>
    </w:rPr>
  </w:style>
  <w:style w:type="character" w:customStyle="1" w:styleId="mw-headline">
    <w:name w:val="mw-headline"/>
    <w:basedOn w:val="Absatz-Standardschriftart"/>
    <w:rsid w:val="00820871"/>
  </w:style>
  <w:style w:type="paragraph" w:styleId="StandardWeb">
    <w:name w:val="Normal (Web)"/>
    <w:basedOn w:val="Standard"/>
    <w:uiPriority w:val="99"/>
    <w:semiHidden/>
    <w:unhideWhenUsed/>
    <w:rsid w:val="0082087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earchhit">
    <w:name w:val="search_hit"/>
    <w:basedOn w:val="Absatz-Standardschriftart"/>
    <w:rsid w:val="00D95D70"/>
  </w:style>
  <w:style w:type="character" w:styleId="Hyperlink">
    <w:name w:val="Hyperlink"/>
    <w:basedOn w:val="Absatz-Standardschriftart"/>
    <w:uiPriority w:val="99"/>
    <w:semiHidden/>
    <w:unhideWhenUsed/>
    <w:rsid w:val="00D95D70"/>
    <w:rPr>
      <w:color w:val="0000FF"/>
      <w:u w:val="single"/>
    </w:rPr>
  </w:style>
  <w:style w:type="character" w:customStyle="1" w:styleId="berschrift3Zchn">
    <w:name w:val="Überschrift 3 Zchn"/>
    <w:basedOn w:val="Absatz-Standardschriftart"/>
    <w:link w:val="berschrift3"/>
    <w:uiPriority w:val="9"/>
    <w:semiHidden/>
    <w:rsid w:val="00D95D7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904335117">
      <w:bodyDiv w:val="1"/>
      <w:marLeft w:val="0"/>
      <w:marRight w:val="0"/>
      <w:marTop w:val="0"/>
      <w:marBottom w:val="0"/>
      <w:divBdr>
        <w:top w:val="none" w:sz="0" w:space="0" w:color="auto"/>
        <w:left w:val="none" w:sz="0" w:space="0" w:color="auto"/>
        <w:bottom w:val="none" w:sz="0" w:space="0" w:color="auto"/>
        <w:right w:val="none" w:sz="0" w:space="0" w:color="auto"/>
      </w:divBdr>
    </w:div>
    <w:div w:id="1327899876">
      <w:bodyDiv w:val="1"/>
      <w:marLeft w:val="0"/>
      <w:marRight w:val="0"/>
      <w:marTop w:val="0"/>
      <w:marBottom w:val="0"/>
      <w:divBdr>
        <w:top w:val="none" w:sz="0" w:space="0" w:color="auto"/>
        <w:left w:val="none" w:sz="0" w:space="0" w:color="auto"/>
        <w:bottom w:val="none" w:sz="0" w:space="0" w:color="auto"/>
        <w:right w:val="none" w:sz="0" w:space="0" w:color="auto"/>
      </w:divBdr>
      <w:divsChild>
        <w:div w:id="1578780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dejure.org/gesetze/HGB/123.html" TargetMode="External"/><Relationship Id="rId47" Type="http://schemas.openxmlformats.org/officeDocument/2006/relationships/image" Target="media/image4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yperlink" Target="http://dejure.org/gesetze/HGB/124.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http://www.ipwiki.de/verfahrensrecht:prozessvoraussetzungen" TargetMode="External"/><Relationship Id="rId45" Type="http://schemas.openxmlformats.org/officeDocument/2006/relationships/image" Target="media/image3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305</Words>
  <Characters>1923</Characters>
  <Application>Microsoft Office Word</Application>
  <DocSecurity>0</DocSecurity>
  <Lines>16</Lines>
  <Paragraphs>4</Paragraphs>
  <ScaleCrop>false</ScaleCrop>
  <Company>Microsoft</Company>
  <LinksUpToDate>false</LinksUpToDate>
  <CharactersWithSpaces>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dc:creator>
  <cp:lastModifiedBy>Charli</cp:lastModifiedBy>
  <cp:revision>3</cp:revision>
  <dcterms:created xsi:type="dcterms:W3CDTF">2012-10-20T12:27:00Z</dcterms:created>
  <dcterms:modified xsi:type="dcterms:W3CDTF">2012-10-20T12:52:00Z</dcterms:modified>
</cp:coreProperties>
</file>